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Cs w:val="24"/>
        </w:rPr>
      </w:pPr>
      <w:r w:rsidRPr="0022424C">
        <w:rPr>
          <w:rFonts w:asciiTheme="minorHAnsi" w:hAnsiTheme="minorHAnsi" w:cstheme="minorHAnsi"/>
          <w:bCs/>
          <w:noProof/>
          <w:szCs w:val="24"/>
        </w:rPr>
        <w:drawing>
          <wp:inline distT="0" distB="0" distL="0" distR="0">
            <wp:extent cx="3784821" cy="554956"/>
            <wp:effectExtent l="0" t="0" r="0" b="0"/>
            <wp:docPr id="1" name="Picture 1" descr="CloudC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oudCM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639" cy="56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914187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Clinical Effectiveness Leadership Training (CELT) [LMS]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Clinical Effectiveness Leadership Training (CELT) [LMS]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December 5, 2025 7:00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12/5/2025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12/5/2025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914187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914187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MERGEFIELD Location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instrText>«Location»</w:instrTex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6B68A0"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914187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914187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 w:rsidR="00814794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914187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EventDesc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«EventDesc»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814794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0 i.</w:instrText>
        <w:tab/>
        <w:instrText>Explain the foundations of the Institute for Healthcare Improvement (IHI) Triple Aim Goals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ii.</w:instrText>
        <w:tab/>
        <w:instrText>Employ one new technique to access data to modify clinical practice.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914187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0 i.</w:instrText>
        <w:tab/>
        <w:instrText>Explain the foundations of the Institute for Healthcare Improvement (IHI) Triple Aim Goals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 ii.</w:instrText>
        <w:tab/>
        <w:instrText>Employ one new technique to access data to modify clinical practice.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914187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0 i.</w:t>
        <w:tab/>
        <w:t>Explain the foundations of the Institute for Healthcare Improvement (IHI) Triple Aim Goals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 ii.</w:t>
        <w:tab/>
        <w:t>Employ one new technique to access data to modify clinical practice.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CloudCME</w:t>
      </w:r>
      <w:r w:rsidRPr="0022424C">
        <w:rPr>
          <w:rFonts w:asciiTheme="minorHAnsi" w:hAnsiTheme="minorHAnsi" w:cstheme="minorHAnsi"/>
          <w:sz w:val="20"/>
        </w:rPr>
        <w:t xml:space="preserve"> 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CloudCME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2.00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914187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4</cp:revision>
  <cp:lastPrinted>2020-06-19T17:43:00Z</cp:lastPrinted>
  <dcterms:created xsi:type="dcterms:W3CDTF">2021-10-06T15:19:00Z</dcterms:created>
  <dcterms:modified xsi:type="dcterms:W3CDTF">2021-10-06T15:34:00Z</dcterms:modified>
</cp:coreProperties>
</file>